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E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95B9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Karta pracy- Sposoby ochrony przyrody</w:t>
      </w:r>
    </w:p>
    <w:p w:rsidR="00BC7B0E" w:rsidRPr="00995B94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Imię i nazwisko: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Klasa:</w:t>
      </w:r>
    </w:p>
    <w:p w:rsidR="00BC7B0E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hAnsi="Times New Roman" w:cs="Times New Roman"/>
          <w:b/>
          <w:sz w:val="22"/>
          <w:szCs w:val="22"/>
        </w:rPr>
        <w:t>Określ główny cel ochrony przyrody (0-1)</w:t>
      </w:r>
    </w:p>
    <w:p w:rsidR="00BC7B0E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Na podstawie informacji w podręczniku uzupełnij tabelę. (0-5)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966"/>
        <w:gridCol w:w="2966"/>
      </w:tblGrid>
      <w:tr w:rsidR="00BC7B0E" w:rsidRPr="00995B94" w:rsidTr="00E043D3">
        <w:tc>
          <w:tcPr>
            <w:tcW w:w="299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Sposoby ochrony ze względu na zakres objętych ochroną elementów przyrody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Opis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Przykłady</w:t>
            </w:r>
          </w:p>
        </w:tc>
      </w:tr>
      <w:tr w:rsidR="00BC7B0E" w:rsidRPr="00995B94" w:rsidTr="00E043D3">
        <w:trPr>
          <w:trHeight w:val="543"/>
        </w:trPr>
        <w:tc>
          <w:tcPr>
            <w:tcW w:w="2996" w:type="dxa"/>
            <w:vMerge w:val="restart"/>
            <w:tcBorders>
              <w:top w:val="single" w:sz="8" w:space="0" w:color="000000"/>
            </w:tcBorders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ochrona indywidualna</w:t>
            </w: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E043D3">
        <w:trPr>
          <w:trHeight w:val="636"/>
        </w:trPr>
        <w:tc>
          <w:tcPr>
            <w:tcW w:w="2996" w:type="dxa"/>
            <w:vMerge/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głazy narzutowe</w:t>
            </w:r>
          </w:p>
        </w:tc>
      </w:tr>
      <w:tr w:rsidR="00BC7B0E" w:rsidRPr="00995B94" w:rsidTr="00E043D3">
        <w:trPr>
          <w:trHeight w:val="411"/>
        </w:trPr>
        <w:tc>
          <w:tcPr>
            <w:tcW w:w="2996" w:type="dxa"/>
            <w:vMerge/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E043D3">
        <w:trPr>
          <w:trHeight w:val="1128"/>
        </w:trPr>
        <w:tc>
          <w:tcPr>
            <w:tcW w:w="2996" w:type="dxa"/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obejmuje gatunki wymierające lub występujące w nielicznych miejscach</w:t>
            </w:r>
          </w:p>
        </w:tc>
        <w:tc>
          <w:tcPr>
            <w:tcW w:w="2966" w:type="dxa"/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E043D3">
        <w:tc>
          <w:tcPr>
            <w:tcW w:w="2996" w:type="dxa"/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narodowe</w:t>
            </w: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rezerwaty przyrody</w:t>
            </w: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krajobrazowe</w:t>
            </w:r>
          </w:p>
          <w:p w:rsidR="00BC7B0E" w:rsidRPr="00995B94" w:rsidRDefault="00BC7B0E" w:rsidP="00E043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Bezodstpw"/>
        <w:spacing w:line="276" w:lineRule="auto"/>
        <w:rPr>
          <w:rFonts w:ascii="Times New Roman" w:hAnsi="Times New Roman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Opisz przykład, inny niż podany w podręczniku, kiedy ochrona indywidualna osobnika należącego do jednego gatunku może kolidować z ochroną innego gatunku. (0-2)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eastAsia="HelveticaNeueLTPro-Lt" w:hAnsi="Times New Roman" w:cs="Times New Roman"/>
          <w:b/>
          <w:sz w:val="22"/>
          <w:szCs w:val="22"/>
        </w:rPr>
        <w:t>Dopisz sposoby ochrony przyrody do podanych informacji.</w:t>
      </w:r>
      <w:r>
        <w:rPr>
          <w:rFonts w:ascii="Times New Roman" w:eastAsia="HelveticaNeueLTPro-Lt" w:hAnsi="Times New Roman" w:cs="Times New Roman"/>
          <w:b/>
          <w:i/>
          <w:sz w:val="22"/>
          <w:szCs w:val="22"/>
        </w:rPr>
        <w:tab/>
      </w:r>
      <w:r w:rsidRPr="00995B94">
        <w:rPr>
          <w:rFonts w:ascii="Times New Roman" w:eastAsia="HelveticaNeueLTPro-Lt" w:hAnsi="Times New Roman" w:cs="Times New Roman"/>
          <w:b/>
          <w:i/>
          <w:sz w:val="22"/>
          <w:szCs w:val="22"/>
        </w:rPr>
        <w:t>(0–3)</w:t>
      </w:r>
    </w:p>
    <w:p w:rsidR="00BC7B0E" w:rsidRPr="00995B94" w:rsidRDefault="00BC7B0E" w:rsidP="00BC7B0E">
      <w:p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Ochroną objęte są pojedyncze osobniki danego gatunku. </w:t>
      </w:r>
    </w:p>
    <w:p w:rsidR="00BC7B0E" w:rsidRPr="00995B94" w:rsidRDefault="00BC7B0E" w:rsidP="00BC7B0E">
      <w:pPr>
        <w:spacing w:before="240" w:after="240" w:line="276" w:lineRule="auto"/>
        <w:ind w:left="360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lastRenderedPageBreak/>
        <w:t>Na obszarach objętych ochroną niedozwolona jest jakakolwiek ingerencja człowieka w ekosystem.</w:t>
      </w:r>
    </w:p>
    <w:p w:rsidR="00BC7B0E" w:rsidRPr="00995B94" w:rsidRDefault="00BC7B0E" w:rsidP="00BC7B0E">
      <w:pPr>
        <w:spacing w:before="240" w:after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Ochrona poza miejscem naturalnego występowania gatunku. 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</w:p>
    <w:p w:rsidR="00BC7B0E" w:rsidRPr="00995B94" w:rsidRDefault="00BC7B0E" w:rsidP="00BC7B0E">
      <w:pPr>
        <w:pStyle w:val="akapit"/>
        <w:numPr>
          <w:ilvl w:val="0"/>
          <w:numId w:val="1"/>
        </w:numPr>
        <w:spacing w:line="276" w:lineRule="auto"/>
        <w:rPr>
          <w:rFonts w:cs="Times New Roman"/>
          <w:b/>
          <w:sz w:val="22"/>
          <w:szCs w:val="22"/>
        </w:rPr>
      </w:pPr>
      <w:r w:rsidRPr="00995B94">
        <w:rPr>
          <w:rFonts w:cs="Times New Roman"/>
          <w:b/>
          <w:sz w:val="22"/>
          <w:szCs w:val="22"/>
        </w:rPr>
        <w:t>Wykreśl wyrazy tak, aby informacja dotycząca ratowania ginących gatunków była prawdziwa.</w:t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eastAsia="HelveticaNeueLTPro-Lt" w:cs="Times New Roman"/>
          <w:b/>
          <w:i/>
          <w:sz w:val="22"/>
          <w:szCs w:val="22"/>
        </w:rPr>
        <w:t xml:space="preserve"> (0–2)</w:t>
      </w:r>
    </w:p>
    <w:p w:rsidR="00BC7B0E" w:rsidRPr="00995B94" w:rsidRDefault="00BC7B0E" w:rsidP="00BC7B0E">
      <w:pPr>
        <w:spacing w:line="276" w:lineRule="auto"/>
        <w:ind w:left="360"/>
        <w:rPr>
          <w:i/>
          <w:sz w:val="22"/>
          <w:szCs w:val="22"/>
        </w:rPr>
      </w:pPr>
      <w:r w:rsidRPr="00995B94">
        <w:rPr>
          <w:sz w:val="22"/>
          <w:szCs w:val="22"/>
        </w:rPr>
        <w:t xml:space="preserve">Odbudowę określonego gatunku zwierząt, którego populacja została wyniszczona, nazywamy </w:t>
      </w:r>
      <w:r w:rsidRPr="00995B94">
        <w:rPr>
          <w:i/>
          <w:sz w:val="22"/>
          <w:szCs w:val="22"/>
        </w:rPr>
        <w:t xml:space="preserve">restytucją / </w:t>
      </w:r>
      <w:proofErr w:type="spellStart"/>
      <w:r w:rsidRPr="00995B94">
        <w:rPr>
          <w:i/>
          <w:sz w:val="22"/>
          <w:szCs w:val="22"/>
        </w:rPr>
        <w:t>reintrodukcją</w:t>
      </w:r>
      <w:proofErr w:type="spellEnd"/>
      <w:r w:rsidRPr="00995B94">
        <w:rPr>
          <w:sz w:val="22"/>
          <w:szCs w:val="22"/>
        </w:rPr>
        <w:t>.</w:t>
      </w:r>
      <w:r w:rsidRPr="00995B94">
        <w:rPr>
          <w:b/>
          <w:sz w:val="22"/>
          <w:szCs w:val="22"/>
        </w:rPr>
        <w:t xml:space="preserve"> </w:t>
      </w:r>
      <w:r w:rsidRPr="00995B94">
        <w:rPr>
          <w:sz w:val="22"/>
          <w:szCs w:val="22"/>
        </w:rPr>
        <w:t xml:space="preserve">Polega ona na stosowaniu odpowiednich zabiegów hodowlanych zmierzających do zwiększenia stanu liczebnego zwierząt. Dzięki niej można dokonać </w:t>
      </w:r>
      <w:r w:rsidRPr="00995B94">
        <w:rPr>
          <w:i/>
          <w:sz w:val="22"/>
          <w:szCs w:val="22"/>
        </w:rPr>
        <w:t xml:space="preserve">restytucji / </w:t>
      </w:r>
      <w:proofErr w:type="spellStart"/>
      <w:r w:rsidRPr="00995B94">
        <w:rPr>
          <w:i/>
          <w:sz w:val="22"/>
          <w:szCs w:val="22"/>
        </w:rPr>
        <w:t>reintrodukcji</w:t>
      </w:r>
      <w:proofErr w:type="spellEnd"/>
      <w:r w:rsidRPr="00995B94">
        <w:rPr>
          <w:sz w:val="22"/>
          <w:szCs w:val="22"/>
        </w:rPr>
        <w:t xml:space="preserve">, czyli wprowadzenia odbudowanego gatunku na obszary naturalnego występowania. Opisane zabiegi są przykładem ochrony </w:t>
      </w:r>
      <w:r w:rsidRPr="00995B94">
        <w:rPr>
          <w:i/>
          <w:sz w:val="22"/>
          <w:szCs w:val="22"/>
        </w:rPr>
        <w:t>czynnej / biernej</w:t>
      </w:r>
      <w:r w:rsidRPr="00995B94">
        <w:rPr>
          <w:sz w:val="22"/>
          <w:szCs w:val="22"/>
        </w:rPr>
        <w:t>.</w:t>
      </w:r>
      <w:r w:rsidRPr="00995B94">
        <w:rPr>
          <w:rFonts w:eastAsia="HelveticaNeueLTPro-Lt"/>
          <w:i/>
          <w:noProof/>
          <w:sz w:val="22"/>
          <w:szCs w:val="22"/>
        </w:rPr>
        <w:t xml:space="preserve"> </w:t>
      </w:r>
      <w:r w:rsidRPr="00995B94">
        <w:rPr>
          <w:rFonts w:eastAsia="HelveticaNeueLTPro-Lt"/>
          <w:noProof/>
          <w:sz w:val="22"/>
          <w:szCs w:val="22"/>
        </w:rPr>
        <w:t xml:space="preserve">Dzięki nim udało się uratować m.in. </w:t>
      </w:r>
      <w:r w:rsidRPr="00995B94">
        <w:rPr>
          <w:i/>
          <w:sz w:val="22"/>
          <w:szCs w:val="22"/>
        </w:rPr>
        <w:t xml:space="preserve">bobra europejskiego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 xml:space="preserve">żubra / sowę puchacza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>rysia</w:t>
      </w:r>
      <w:r w:rsidRPr="00995B94">
        <w:rPr>
          <w:sz w:val="22"/>
          <w:szCs w:val="22"/>
        </w:rPr>
        <w:t>.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5B94">
        <w:rPr>
          <w:rFonts w:ascii="Times New Roman" w:hAnsi="Times New Roman" w:cs="Times New Roman"/>
          <w:sz w:val="22"/>
          <w:szCs w:val="22"/>
        </w:rPr>
        <w:br w:type="page"/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065A" w:rsidRDefault="009A065A"/>
    <w:sectPr w:rsidR="009A065A" w:rsidSect="00CA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B6" w:rsidRDefault="007768B6" w:rsidP="00D818B3">
      <w:r>
        <w:separator/>
      </w:r>
    </w:p>
  </w:endnote>
  <w:endnote w:type="continuationSeparator" w:id="0">
    <w:p w:rsidR="007768B6" w:rsidRDefault="007768B6" w:rsidP="00D8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Schoolbook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7768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D818B3">
    <w:pPr>
      <w:pStyle w:val="Stopka"/>
      <w:jc w:val="right"/>
    </w:pPr>
    <w:r>
      <w:fldChar w:fldCharType="begin"/>
    </w:r>
    <w:r w:rsidR="00BC7B0E">
      <w:instrText xml:space="preserve"> PAGE   \* MERGEFORMAT </w:instrText>
    </w:r>
    <w:r>
      <w:fldChar w:fldCharType="separate"/>
    </w:r>
    <w:r w:rsidR="009462DF">
      <w:rPr>
        <w:noProof/>
      </w:rPr>
      <w:t>3</w:t>
    </w:r>
    <w:r>
      <w:fldChar w:fldCharType="end"/>
    </w:r>
  </w:p>
  <w:p w:rsidR="00E314AB" w:rsidRDefault="007768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776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B6" w:rsidRDefault="007768B6" w:rsidP="00D818B3">
      <w:r>
        <w:separator/>
      </w:r>
    </w:p>
  </w:footnote>
  <w:footnote w:type="continuationSeparator" w:id="0">
    <w:p w:rsidR="007768B6" w:rsidRDefault="007768B6" w:rsidP="00D8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7768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7768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AB" w:rsidRDefault="007768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8D6"/>
    <w:multiLevelType w:val="hybridMultilevel"/>
    <w:tmpl w:val="3492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5F4"/>
    <w:multiLevelType w:val="hybridMultilevel"/>
    <w:tmpl w:val="6922D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0E"/>
    <w:rsid w:val="007768B6"/>
    <w:rsid w:val="009462DF"/>
    <w:rsid w:val="009A065A"/>
    <w:rsid w:val="00BC7B0E"/>
    <w:rsid w:val="00D8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B0E"/>
    <w:pPr>
      <w:autoSpaceDE w:val="0"/>
      <w:autoSpaceDN w:val="0"/>
      <w:adjustRightInd w:val="0"/>
      <w:spacing w:after="0" w:line="240" w:lineRule="auto"/>
    </w:pPr>
    <w:rPr>
      <w:rFonts w:ascii="CentSchbookEU" w:eastAsia="Calibri" w:hAnsi="CentSchbookEU" w:cs="CentSchbookEU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BC7B0E"/>
    <w:pPr>
      <w:spacing w:line="20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BC7B0E"/>
    <w:rPr>
      <w:rFonts w:ascii="Century Schoolbook PL" w:hAnsi="Century Schoolbook PL" w:cs="Century Schoolbook PL"/>
      <w:color w:val="000000"/>
      <w:sz w:val="10"/>
      <w:szCs w:val="10"/>
    </w:rPr>
  </w:style>
  <w:style w:type="paragraph" w:styleId="Bezodstpw">
    <w:name w:val="No Spacing"/>
    <w:uiPriority w:val="1"/>
    <w:qFormat/>
    <w:rsid w:val="00BC7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">
    <w:name w:val="akapit"/>
    <w:basedOn w:val="Bezodstpw"/>
    <w:link w:val="akapitZnak"/>
    <w:qFormat/>
    <w:rsid w:val="00BC7B0E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BC7B0E"/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Company>Parsęta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2020-05-13T11:29:00Z</dcterms:created>
  <dcterms:modified xsi:type="dcterms:W3CDTF">2020-05-13T11:29:00Z</dcterms:modified>
</cp:coreProperties>
</file>